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CE" w:rsidRPr="00B810CE" w:rsidRDefault="00B810CE" w:rsidP="00B810CE">
      <w:pPr>
        <w:spacing w:after="200" w:line="253" w:lineRule="atLeast"/>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12 January 2016</w:t>
      </w:r>
    </w:p>
    <w:p w:rsidR="00B810CE" w:rsidRPr="00B810CE" w:rsidRDefault="00B810CE" w:rsidP="00B810CE">
      <w:pPr>
        <w:spacing w:after="200" w:line="253" w:lineRule="atLeast"/>
        <w:jc w:val="center"/>
        <w:rPr>
          <w:rFonts w:ascii="Calibri" w:eastAsia="Times New Roman" w:hAnsi="Calibri" w:cs="Times New Roman"/>
          <w:b/>
          <w:bCs/>
          <w:color w:val="000000"/>
          <w:lang w:eastAsia="en-GB"/>
        </w:rPr>
      </w:pPr>
      <w:r w:rsidRPr="00B810CE">
        <w:rPr>
          <w:rFonts w:ascii="Calibri" w:eastAsia="Times New Roman" w:hAnsi="Calibri" w:cs="Times New Roman"/>
          <w:b/>
          <w:bCs/>
          <w:color w:val="000000"/>
          <w:sz w:val="20"/>
          <w:szCs w:val="20"/>
          <w:lang w:eastAsia="en-GB"/>
        </w:rPr>
        <w:t>Inspired Energy plc</w:t>
      </w:r>
    </w:p>
    <w:p w:rsidR="00B810CE" w:rsidRPr="00B810CE" w:rsidRDefault="00B810CE" w:rsidP="00B810CE">
      <w:pPr>
        <w:spacing w:after="200" w:line="240" w:lineRule="auto"/>
        <w:jc w:val="center"/>
        <w:rPr>
          <w:rFonts w:ascii="Calibri" w:eastAsia="Times New Roman" w:hAnsi="Calibri" w:cs="Times New Roman"/>
          <w:b/>
          <w:bCs/>
          <w:color w:val="000000"/>
          <w:lang w:eastAsia="en-GB"/>
        </w:rPr>
      </w:pPr>
      <w:r w:rsidRPr="00B810CE">
        <w:rPr>
          <w:rFonts w:ascii="Calibri" w:eastAsia="Times New Roman" w:hAnsi="Calibri" w:cs="Times New Roman"/>
          <w:b/>
          <w:bCs/>
          <w:color w:val="000000"/>
          <w:sz w:val="20"/>
          <w:szCs w:val="20"/>
          <w:lang w:eastAsia="en-GB"/>
        </w:rPr>
        <w:t>("Inspired" or the "Group")</w:t>
      </w:r>
    </w:p>
    <w:p w:rsidR="00B810CE" w:rsidRPr="00B810CE" w:rsidRDefault="00B810CE" w:rsidP="00B810CE">
      <w:pPr>
        <w:spacing w:after="0" w:line="240" w:lineRule="auto"/>
        <w:jc w:val="center"/>
        <w:rPr>
          <w:rFonts w:ascii="Calibri" w:eastAsia="Times New Roman" w:hAnsi="Calibri" w:cs="Times New Roman"/>
          <w:b/>
          <w:bCs/>
          <w:color w:val="000000"/>
          <w:lang w:eastAsia="en-GB"/>
        </w:rPr>
      </w:pPr>
      <w:r w:rsidRPr="00B810CE">
        <w:rPr>
          <w:rFonts w:ascii="Calibri" w:eastAsia="Times New Roman" w:hAnsi="Calibri" w:cs="Times New Roman"/>
          <w:b/>
          <w:bCs/>
          <w:color w:val="000000"/>
          <w:sz w:val="20"/>
          <w:szCs w:val="20"/>
          <w:lang w:eastAsia="en-GB"/>
        </w:rPr>
        <w:t>Director dealings and Issue of Equity</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 </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Inspired Energy plc (AIM: INSE), a leading energy procurement consultant to UK corporates and SME's, announces that, as a result of strong institutional demand, directors of the Group, yesterday sold in aggregate 33,950,035 ordinary shares of 0.125p each ("</w:t>
      </w:r>
      <w:r w:rsidRPr="00B810CE">
        <w:rPr>
          <w:rFonts w:ascii="Calibri" w:eastAsia="Times New Roman" w:hAnsi="Calibri" w:cs="Times New Roman"/>
          <w:b/>
          <w:bCs/>
          <w:color w:val="000000"/>
          <w:sz w:val="20"/>
          <w:szCs w:val="20"/>
          <w:lang w:eastAsia="en-GB"/>
        </w:rPr>
        <w:t>Ordinary Shares</w:t>
      </w:r>
      <w:r w:rsidRPr="00B810CE">
        <w:rPr>
          <w:rFonts w:ascii="Calibri" w:eastAsia="Times New Roman" w:hAnsi="Calibri" w:cs="Times New Roman"/>
          <w:color w:val="000000"/>
          <w:sz w:val="20"/>
          <w:szCs w:val="20"/>
          <w:lang w:eastAsia="en-GB"/>
        </w:rPr>
        <w:t>") at a price of 13.25 pence per Ordinary Share.</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 </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The Group also announces that, following the exercise of share options by certain employees of the Group, including by Paul Connor (Finance Director), it has made an application to the London Stock Exchange for the admission to trading on AIM of 1,750,000 new Ordinary Shares ("</w:t>
      </w:r>
      <w:r w:rsidRPr="00B810CE">
        <w:rPr>
          <w:rFonts w:ascii="Calibri" w:eastAsia="Times New Roman" w:hAnsi="Calibri" w:cs="Times New Roman"/>
          <w:b/>
          <w:bCs/>
          <w:color w:val="000000"/>
          <w:sz w:val="20"/>
          <w:szCs w:val="20"/>
          <w:lang w:eastAsia="en-GB"/>
        </w:rPr>
        <w:t>New Shares</w:t>
      </w:r>
      <w:r w:rsidRPr="00B810CE">
        <w:rPr>
          <w:rFonts w:ascii="Calibri" w:eastAsia="Times New Roman" w:hAnsi="Calibri" w:cs="Times New Roman"/>
          <w:color w:val="000000"/>
          <w:sz w:val="20"/>
          <w:szCs w:val="20"/>
          <w:lang w:eastAsia="en-GB"/>
        </w:rPr>
        <w:t>") to satisfy the exercise of options granted under the Group's 2011 Share Option Scheme. </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 </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Application has been made for the New Shares to be admitted to trading on AIM ("</w:t>
      </w:r>
      <w:r w:rsidRPr="00B810CE">
        <w:rPr>
          <w:rFonts w:ascii="Calibri" w:eastAsia="Times New Roman" w:hAnsi="Calibri" w:cs="Times New Roman"/>
          <w:b/>
          <w:bCs/>
          <w:color w:val="000000"/>
          <w:sz w:val="20"/>
          <w:szCs w:val="20"/>
          <w:lang w:eastAsia="en-GB"/>
        </w:rPr>
        <w:t>Admission</w:t>
      </w:r>
      <w:r w:rsidRPr="00B810CE">
        <w:rPr>
          <w:rFonts w:ascii="Calibri" w:eastAsia="Times New Roman" w:hAnsi="Calibri" w:cs="Times New Roman"/>
          <w:color w:val="000000"/>
          <w:sz w:val="20"/>
          <w:szCs w:val="20"/>
          <w:lang w:eastAsia="en-GB"/>
        </w:rPr>
        <w:t>"), and Admission is expected to occur at 8.00 a.m. on 15 January 2016. The 1,750,000 New Shares issued pursuant to the exercise of options will, on admission, rank </w:t>
      </w:r>
      <w:proofErr w:type="spellStart"/>
      <w:r w:rsidRPr="00B810CE">
        <w:rPr>
          <w:rFonts w:ascii="Calibri" w:eastAsia="Times New Roman" w:hAnsi="Calibri" w:cs="Times New Roman"/>
          <w:i/>
          <w:iCs/>
          <w:color w:val="000000"/>
          <w:sz w:val="20"/>
          <w:szCs w:val="20"/>
          <w:lang w:eastAsia="en-GB"/>
        </w:rPr>
        <w:t>pari</w:t>
      </w:r>
      <w:proofErr w:type="spellEnd"/>
      <w:r w:rsidRPr="00B810CE">
        <w:rPr>
          <w:rFonts w:ascii="Calibri" w:eastAsia="Times New Roman" w:hAnsi="Calibri" w:cs="Times New Roman"/>
          <w:i/>
          <w:iCs/>
          <w:color w:val="000000"/>
          <w:sz w:val="20"/>
          <w:szCs w:val="20"/>
          <w:lang w:eastAsia="en-GB"/>
        </w:rPr>
        <w:t xml:space="preserve"> </w:t>
      </w:r>
      <w:proofErr w:type="spellStart"/>
      <w:r w:rsidRPr="00B810CE">
        <w:rPr>
          <w:rFonts w:ascii="Calibri" w:eastAsia="Times New Roman" w:hAnsi="Calibri" w:cs="Times New Roman"/>
          <w:i/>
          <w:iCs/>
          <w:color w:val="000000"/>
          <w:sz w:val="20"/>
          <w:szCs w:val="20"/>
          <w:lang w:eastAsia="en-GB"/>
        </w:rPr>
        <w:t>passu</w:t>
      </w:r>
      <w:proofErr w:type="spellEnd"/>
      <w:r w:rsidRPr="00B810CE">
        <w:rPr>
          <w:rFonts w:ascii="Calibri" w:eastAsia="Times New Roman" w:hAnsi="Calibri" w:cs="Times New Roman"/>
          <w:color w:val="000000"/>
          <w:sz w:val="20"/>
          <w:szCs w:val="20"/>
          <w:lang w:eastAsia="en-GB"/>
        </w:rPr>
        <w:t> with the Group's existing Ordinary Shares.</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 </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Following the issue and Admission of the New Shares, the Group's share capital will comprise 473,353,499, Ordinary Shares ("</w:t>
      </w:r>
      <w:r w:rsidRPr="00B810CE">
        <w:rPr>
          <w:rFonts w:ascii="Calibri" w:eastAsia="Times New Roman" w:hAnsi="Calibri" w:cs="Times New Roman"/>
          <w:b/>
          <w:bCs/>
          <w:color w:val="000000"/>
          <w:sz w:val="20"/>
          <w:szCs w:val="20"/>
          <w:lang w:eastAsia="en-GB"/>
        </w:rPr>
        <w:t>Enlarged Share Capital</w:t>
      </w:r>
      <w:r w:rsidRPr="00B810CE">
        <w:rPr>
          <w:rFonts w:ascii="Calibri" w:eastAsia="Times New Roman" w:hAnsi="Calibri" w:cs="Times New Roman"/>
          <w:color w:val="000000"/>
          <w:sz w:val="20"/>
          <w:szCs w:val="20"/>
          <w:lang w:eastAsia="en-GB"/>
        </w:rPr>
        <w:t>").</w:t>
      </w:r>
    </w:p>
    <w:p w:rsidR="00B810CE" w:rsidRPr="00B810CE" w:rsidRDefault="00B810CE" w:rsidP="00B810CE">
      <w:pPr>
        <w:spacing w:after="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t> </w:t>
      </w:r>
    </w:p>
    <w:p w:rsidR="00B810CE" w:rsidRPr="00B810CE" w:rsidRDefault="00B810CE" w:rsidP="00B810CE">
      <w:pPr>
        <w:spacing w:after="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t>The directors' revised shareholdings are set out below:</w:t>
      </w:r>
    </w:p>
    <w:p w:rsidR="00B810CE" w:rsidRPr="00B810CE" w:rsidRDefault="00B810CE" w:rsidP="00B810CE">
      <w:pPr>
        <w:spacing w:after="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t> </w:t>
      </w:r>
    </w:p>
    <w:tbl>
      <w:tblPr>
        <w:tblW w:w="9240" w:type="dxa"/>
        <w:tblInd w:w="-108" w:type="dxa"/>
        <w:tblCellMar>
          <w:left w:w="0" w:type="dxa"/>
          <w:right w:w="0" w:type="dxa"/>
        </w:tblCellMar>
        <w:tblLook w:val="04A0" w:firstRow="1" w:lastRow="0" w:firstColumn="1" w:lastColumn="0" w:noHBand="0" w:noVBand="1"/>
      </w:tblPr>
      <w:tblGrid>
        <w:gridCol w:w="1062"/>
        <w:gridCol w:w="1076"/>
        <w:gridCol w:w="950"/>
        <w:gridCol w:w="892"/>
        <w:gridCol w:w="950"/>
        <w:gridCol w:w="1119"/>
        <w:gridCol w:w="950"/>
        <w:gridCol w:w="1119"/>
        <w:gridCol w:w="1122"/>
      </w:tblGrid>
      <w:tr w:rsidR="00B810CE" w:rsidRPr="00B810CE" w:rsidTr="00B810CE">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center"/>
              <w:rPr>
                <w:rFonts w:ascii="Arial" w:eastAsia="Times New Roman" w:hAnsi="Arial" w:cs="Arial"/>
                <w:lang w:eastAsia="en-GB"/>
              </w:rPr>
            </w:pPr>
            <w:r w:rsidRPr="00B810CE">
              <w:rPr>
                <w:rFonts w:ascii="Calibri" w:eastAsia="Times New Roman" w:hAnsi="Calibri" w:cs="Arial"/>
                <w:color w:val="000000"/>
                <w:sz w:val="18"/>
                <w:szCs w:val="18"/>
                <w:lang w:eastAsia="en-GB"/>
              </w:rPr>
              <w:t>Director</w:t>
            </w:r>
          </w:p>
        </w:tc>
        <w:tc>
          <w:tcPr>
            <w:tcW w:w="17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center"/>
              <w:rPr>
                <w:rFonts w:ascii="Arial" w:eastAsia="Times New Roman" w:hAnsi="Arial" w:cs="Arial"/>
                <w:lang w:eastAsia="en-GB"/>
              </w:rPr>
            </w:pPr>
            <w:r w:rsidRPr="00B810CE">
              <w:rPr>
                <w:rFonts w:ascii="Calibri" w:eastAsia="Times New Roman" w:hAnsi="Calibri" w:cs="Arial"/>
                <w:color w:val="000000"/>
                <w:sz w:val="18"/>
                <w:szCs w:val="18"/>
                <w:lang w:eastAsia="en-GB"/>
              </w:rPr>
              <w:t>Shareholding</w:t>
            </w:r>
          </w:p>
        </w:tc>
        <w:tc>
          <w:tcPr>
            <w:tcW w:w="15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center"/>
              <w:rPr>
                <w:rFonts w:ascii="Arial" w:eastAsia="Times New Roman" w:hAnsi="Arial" w:cs="Arial"/>
                <w:lang w:eastAsia="en-GB"/>
              </w:rPr>
            </w:pPr>
            <w:r w:rsidRPr="00B810CE">
              <w:rPr>
                <w:rFonts w:ascii="Calibri" w:eastAsia="Times New Roman" w:hAnsi="Calibri" w:cs="Arial"/>
                <w:color w:val="000000"/>
                <w:sz w:val="18"/>
                <w:szCs w:val="18"/>
                <w:lang w:eastAsia="en-GB"/>
              </w:rPr>
              <w:t>Options exercised and sold</w:t>
            </w:r>
          </w:p>
        </w:tc>
        <w:tc>
          <w:tcPr>
            <w:tcW w:w="18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center"/>
              <w:rPr>
                <w:rFonts w:ascii="Arial" w:eastAsia="Times New Roman" w:hAnsi="Arial" w:cs="Arial"/>
                <w:lang w:eastAsia="en-GB"/>
              </w:rPr>
            </w:pPr>
            <w:r w:rsidRPr="00B810CE">
              <w:rPr>
                <w:rFonts w:ascii="Calibri" w:eastAsia="Times New Roman" w:hAnsi="Calibri" w:cs="Arial"/>
                <w:color w:val="000000"/>
                <w:sz w:val="18"/>
                <w:szCs w:val="18"/>
                <w:lang w:eastAsia="en-GB"/>
              </w:rPr>
              <w:t>Ordinary Shares sold</w:t>
            </w:r>
          </w:p>
        </w:tc>
        <w:tc>
          <w:tcPr>
            <w:tcW w:w="20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center"/>
              <w:rPr>
                <w:rFonts w:ascii="Arial" w:eastAsia="Times New Roman" w:hAnsi="Arial" w:cs="Arial"/>
                <w:lang w:eastAsia="en-GB"/>
              </w:rPr>
            </w:pPr>
            <w:r w:rsidRPr="00B810CE">
              <w:rPr>
                <w:rFonts w:ascii="Calibri" w:eastAsia="Times New Roman" w:hAnsi="Calibri" w:cs="Arial"/>
                <w:color w:val="000000"/>
                <w:sz w:val="18"/>
                <w:szCs w:val="18"/>
                <w:lang w:eastAsia="en-GB"/>
              </w:rPr>
              <w:t>Resultant shareholding</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Number of Ordinary Shares</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 of Enlarged Share Capital</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Number of Ordinary Shares</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 of Enlarged Share Capital</w:t>
            </w:r>
            <w:r w:rsidRPr="00B810CE">
              <w:rPr>
                <w:rFonts w:ascii="Calibri" w:eastAsia="Times New Roman" w:hAnsi="Calibri" w:cs="Arial"/>
                <w:color w:val="000000"/>
                <w:sz w:val="14"/>
                <w:szCs w:val="14"/>
                <w:vertAlign w:val="superscript"/>
                <w:lang w:eastAsia="en-GB"/>
              </w:rPr>
              <w:t>1</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Number of Ordinary Shares</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 of Enlarged Share Capital</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Number of Ordinary Shares</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rPr>
                <w:rFonts w:ascii="Arial" w:eastAsia="Times New Roman" w:hAnsi="Arial" w:cs="Arial"/>
                <w:lang w:eastAsia="en-GB"/>
              </w:rPr>
            </w:pPr>
            <w:r w:rsidRPr="00B810CE">
              <w:rPr>
                <w:rFonts w:ascii="Calibri" w:eastAsia="Times New Roman" w:hAnsi="Calibri" w:cs="Arial"/>
                <w:color w:val="000000"/>
                <w:sz w:val="18"/>
                <w:szCs w:val="18"/>
                <w:lang w:eastAsia="en-GB"/>
              </w:rPr>
              <w:t>% of Enlarged Share Capital</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r w:rsidRPr="00B810CE">
              <w:rPr>
                <w:rFonts w:ascii="Calibri" w:eastAsia="Times New Roman" w:hAnsi="Calibri" w:cs="Arial"/>
                <w:color w:val="000000"/>
                <w:sz w:val="18"/>
                <w:szCs w:val="18"/>
                <w:lang w:eastAsia="en-GB"/>
              </w:rPr>
              <w:t>Janet Thornton</w:t>
            </w:r>
            <w:r w:rsidRPr="00B810CE">
              <w:rPr>
                <w:rFonts w:ascii="Calibri" w:eastAsia="Times New Roman" w:hAnsi="Calibri" w:cs="Arial"/>
                <w:color w:val="000000"/>
                <w:sz w:val="14"/>
                <w:szCs w:val="14"/>
                <w:vertAlign w:val="superscript"/>
                <w:lang w:eastAsia="en-GB"/>
              </w:rPr>
              <w:t>1</w:t>
            </w:r>
          </w:p>
          <w:p w:rsidR="00B810CE" w:rsidRPr="00B810CE" w:rsidRDefault="00B810CE" w:rsidP="00B810CE">
            <w:pPr>
              <w:spacing w:after="0" w:line="240" w:lineRule="auto"/>
              <w:jc w:val="both"/>
              <w:rPr>
                <w:rFonts w:ascii="Arial" w:eastAsia="Times New Roman" w:hAnsi="Arial" w:cs="Arial"/>
                <w:i/>
                <w:iCs/>
                <w:lang w:eastAsia="en-GB"/>
              </w:rPr>
            </w:pPr>
            <w:r w:rsidRPr="00B810CE">
              <w:rPr>
                <w:rFonts w:ascii="Calibri" w:eastAsia="Times New Roman" w:hAnsi="Calibri" w:cs="Arial"/>
                <w:i/>
                <w:iCs/>
                <w:color w:val="000000"/>
                <w:sz w:val="18"/>
                <w:szCs w:val="18"/>
                <w:lang w:eastAsia="en-GB"/>
              </w:rPr>
              <w:t>(Managing Director)</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64,365,000</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13.62%</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11,600,017</w:t>
            </w:r>
          </w:p>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2.45%</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52,764,983</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11.15%</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r w:rsidRPr="00B810CE">
              <w:rPr>
                <w:rFonts w:ascii="Calibri" w:eastAsia="Times New Roman" w:hAnsi="Calibri" w:cs="Arial"/>
                <w:color w:val="000000"/>
                <w:sz w:val="18"/>
                <w:szCs w:val="18"/>
                <w:lang w:eastAsia="en-GB"/>
              </w:rPr>
              <w:t>Matthew Thornton</w:t>
            </w:r>
            <w:r w:rsidRPr="00B810CE">
              <w:rPr>
                <w:rFonts w:ascii="Calibri" w:eastAsia="Times New Roman" w:hAnsi="Calibri" w:cs="Arial"/>
                <w:color w:val="000000"/>
                <w:sz w:val="14"/>
                <w:szCs w:val="14"/>
                <w:vertAlign w:val="superscript"/>
                <w:lang w:eastAsia="en-GB"/>
              </w:rPr>
              <w:t>1</w:t>
            </w:r>
          </w:p>
          <w:p w:rsidR="00B810CE" w:rsidRPr="00B810CE" w:rsidRDefault="00B810CE" w:rsidP="00B810CE">
            <w:pPr>
              <w:spacing w:after="0" w:line="240" w:lineRule="auto"/>
              <w:jc w:val="both"/>
              <w:rPr>
                <w:rFonts w:ascii="Arial" w:eastAsia="Times New Roman" w:hAnsi="Arial" w:cs="Arial"/>
                <w:i/>
                <w:iCs/>
                <w:lang w:eastAsia="en-GB"/>
              </w:rPr>
            </w:pPr>
            <w:r w:rsidRPr="00B810CE">
              <w:rPr>
                <w:rFonts w:ascii="Calibri" w:eastAsia="Times New Roman" w:hAnsi="Calibri" w:cs="Arial"/>
                <w:i/>
                <w:iCs/>
                <w:color w:val="000000"/>
                <w:sz w:val="18"/>
                <w:szCs w:val="18"/>
                <w:lang w:eastAsia="en-GB"/>
              </w:rPr>
              <w:t>(Executive Director)</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64,365,001</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13.62%</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11,600,018</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2.45%</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52,764,983</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11.15%</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r w:rsidRPr="00B810CE">
              <w:rPr>
                <w:rFonts w:ascii="Calibri" w:eastAsia="Times New Roman" w:hAnsi="Calibri" w:cs="Arial"/>
                <w:color w:val="000000"/>
                <w:sz w:val="18"/>
                <w:szCs w:val="18"/>
                <w:lang w:eastAsia="en-GB"/>
              </w:rPr>
              <w:t>Bob Holt</w:t>
            </w:r>
          </w:p>
          <w:p w:rsidR="00B810CE" w:rsidRPr="00B810CE" w:rsidRDefault="00B810CE" w:rsidP="00B810CE">
            <w:pPr>
              <w:spacing w:after="0" w:line="240" w:lineRule="auto"/>
              <w:jc w:val="both"/>
              <w:rPr>
                <w:rFonts w:ascii="Arial" w:eastAsia="Times New Roman" w:hAnsi="Arial" w:cs="Arial"/>
                <w:i/>
                <w:iCs/>
                <w:lang w:eastAsia="en-GB"/>
              </w:rPr>
            </w:pPr>
            <w:r w:rsidRPr="00B810CE">
              <w:rPr>
                <w:rFonts w:ascii="Calibri" w:eastAsia="Times New Roman" w:hAnsi="Calibri" w:cs="Arial"/>
                <w:i/>
                <w:iCs/>
                <w:color w:val="000000"/>
                <w:sz w:val="18"/>
                <w:szCs w:val="18"/>
                <w:lang w:eastAsia="en-GB"/>
              </w:rPr>
              <w:t>(Non-Executive Chairman)</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7,500,000</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1.59%</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5,000,000</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1.06%</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2,500,000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0.53%</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proofErr w:type="spellStart"/>
            <w:r w:rsidRPr="00B810CE">
              <w:rPr>
                <w:rFonts w:ascii="Calibri" w:eastAsia="Times New Roman" w:hAnsi="Calibri" w:cs="Arial"/>
                <w:color w:val="000000"/>
                <w:sz w:val="18"/>
                <w:szCs w:val="18"/>
                <w:lang w:eastAsia="en-GB"/>
              </w:rPr>
              <w:t>Praetura</w:t>
            </w:r>
            <w:proofErr w:type="spellEnd"/>
            <w:r w:rsidRPr="00B810CE">
              <w:rPr>
                <w:rFonts w:ascii="Calibri" w:eastAsia="Times New Roman" w:hAnsi="Calibri" w:cs="Arial"/>
                <w:color w:val="000000"/>
                <w:sz w:val="18"/>
                <w:szCs w:val="18"/>
                <w:lang w:eastAsia="en-GB"/>
              </w:rPr>
              <w:t xml:space="preserve"> Ventures</w:t>
            </w:r>
            <w:r w:rsidRPr="00B810CE">
              <w:rPr>
                <w:rFonts w:ascii="Calibri" w:eastAsia="Times New Roman" w:hAnsi="Calibri" w:cs="Arial"/>
                <w:color w:val="000000"/>
                <w:sz w:val="14"/>
                <w:szCs w:val="14"/>
                <w:vertAlign w:val="superscript"/>
                <w:lang w:eastAsia="en-GB"/>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22,274,079</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5,000,000</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1.06%</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17,274,079</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3.65%</w:t>
            </w:r>
          </w:p>
        </w:tc>
      </w:tr>
      <w:tr w:rsidR="00B810CE" w:rsidRPr="00B810CE" w:rsidTr="00B810CE">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both"/>
              <w:rPr>
                <w:rFonts w:ascii="Arial" w:eastAsia="Times New Roman" w:hAnsi="Arial" w:cs="Arial"/>
                <w:lang w:eastAsia="en-GB"/>
              </w:rPr>
            </w:pPr>
            <w:r w:rsidRPr="00B810CE">
              <w:rPr>
                <w:rFonts w:ascii="Calibri" w:eastAsia="Times New Roman" w:hAnsi="Calibri" w:cs="Arial"/>
                <w:color w:val="000000"/>
                <w:sz w:val="18"/>
                <w:szCs w:val="18"/>
                <w:lang w:eastAsia="en-GB"/>
              </w:rPr>
              <w:t>Paul Connor</w:t>
            </w:r>
          </w:p>
          <w:p w:rsidR="00B810CE" w:rsidRPr="00B810CE" w:rsidRDefault="00B810CE" w:rsidP="00B810CE">
            <w:pPr>
              <w:spacing w:after="0" w:line="240" w:lineRule="auto"/>
              <w:jc w:val="both"/>
              <w:rPr>
                <w:rFonts w:ascii="Arial" w:eastAsia="Times New Roman" w:hAnsi="Arial" w:cs="Arial"/>
                <w:i/>
                <w:iCs/>
                <w:lang w:eastAsia="en-GB"/>
              </w:rPr>
            </w:pPr>
            <w:r w:rsidRPr="00B810CE">
              <w:rPr>
                <w:rFonts w:ascii="Calibri" w:eastAsia="Times New Roman" w:hAnsi="Calibri" w:cs="Arial"/>
                <w:i/>
                <w:iCs/>
                <w:color w:val="000000"/>
                <w:sz w:val="18"/>
                <w:szCs w:val="18"/>
                <w:lang w:eastAsia="en-GB"/>
              </w:rPr>
              <w:t>(Finance Director)</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Arial" w:eastAsia="Times New Roman" w:hAnsi="Arial" w:cs="Arial"/>
                <w:lang w:eastAsia="en-GB"/>
              </w:rPr>
            </w:pPr>
            <w:r w:rsidRPr="00B810CE">
              <w:rPr>
                <w:rFonts w:ascii="Calibri" w:eastAsia="Times New Roman" w:hAnsi="Calibri" w:cs="Arial"/>
                <w:color w:val="000000"/>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750,000</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color w:val="000000"/>
                <w:sz w:val="18"/>
                <w:szCs w:val="18"/>
                <w:lang w:eastAsia="en-GB"/>
              </w:rPr>
              <w:t>0.16</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 -  </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0.00%</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810CE" w:rsidRPr="00B810CE" w:rsidRDefault="00B810CE" w:rsidP="00B810CE">
            <w:pPr>
              <w:spacing w:after="0" w:line="240" w:lineRule="auto"/>
              <w:jc w:val="right"/>
              <w:rPr>
                <w:rFonts w:ascii="Calibri" w:eastAsia="Times New Roman" w:hAnsi="Calibri" w:cs="Times New Roman"/>
                <w:lang w:eastAsia="en-GB"/>
              </w:rPr>
            </w:pPr>
            <w:r w:rsidRPr="00B810CE">
              <w:rPr>
                <w:rFonts w:ascii="Calibri" w:eastAsia="Times New Roman" w:hAnsi="Calibri" w:cs="Times New Roman"/>
                <w:sz w:val="18"/>
                <w:szCs w:val="18"/>
                <w:lang w:eastAsia="en-GB"/>
              </w:rPr>
              <w:t>-</w:t>
            </w:r>
          </w:p>
        </w:tc>
      </w:tr>
    </w:tbl>
    <w:p w:rsidR="00B810CE" w:rsidRPr="00B810CE" w:rsidRDefault="00B810CE" w:rsidP="00B810CE">
      <w:pPr>
        <w:spacing w:after="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16"/>
          <w:szCs w:val="16"/>
          <w:lang w:eastAsia="en-GB"/>
        </w:rPr>
        <w:t>Notes:</w:t>
      </w:r>
    </w:p>
    <w:p w:rsidR="00B810CE" w:rsidRPr="00B810CE" w:rsidRDefault="00B810CE" w:rsidP="00B810CE">
      <w:pPr>
        <w:spacing w:after="0" w:line="253" w:lineRule="atLeast"/>
        <w:ind w:left="720" w:hanging="360"/>
        <w:jc w:val="both"/>
        <w:rPr>
          <w:rFonts w:ascii="Arial" w:eastAsia="Times New Roman" w:hAnsi="Arial" w:cs="Arial"/>
          <w:color w:val="000000"/>
          <w:lang w:eastAsia="en-GB"/>
        </w:rPr>
      </w:pPr>
      <w:r w:rsidRPr="00B810CE">
        <w:rPr>
          <w:rFonts w:ascii="Calibri" w:eastAsia="Times New Roman" w:hAnsi="Calibri" w:cs="Arial"/>
          <w:color w:val="000000"/>
          <w:sz w:val="16"/>
          <w:szCs w:val="16"/>
          <w:lang w:eastAsia="en-GB"/>
        </w:rPr>
        <w:t xml:space="preserve">1.        Janet Thornton and Matthew Thornton are married, therefore, their aggregate holding will be 105,529,966 Ordinary Shares representing 22.3 per cent. </w:t>
      </w:r>
      <w:proofErr w:type="gramStart"/>
      <w:r w:rsidRPr="00B810CE">
        <w:rPr>
          <w:rFonts w:ascii="Calibri" w:eastAsia="Times New Roman" w:hAnsi="Calibri" w:cs="Arial"/>
          <w:color w:val="000000"/>
          <w:sz w:val="16"/>
          <w:szCs w:val="16"/>
          <w:lang w:eastAsia="en-GB"/>
        </w:rPr>
        <w:t>of</w:t>
      </w:r>
      <w:proofErr w:type="gramEnd"/>
      <w:r w:rsidRPr="00B810CE">
        <w:rPr>
          <w:rFonts w:ascii="Calibri" w:eastAsia="Times New Roman" w:hAnsi="Calibri" w:cs="Arial"/>
          <w:color w:val="000000"/>
          <w:sz w:val="16"/>
          <w:szCs w:val="16"/>
          <w:lang w:eastAsia="en-GB"/>
        </w:rPr>
        <w:t xml:space="preserve"> the Enlarged Share Capital.</w:t>
      </w:r>
    </w:p>
    <w:p w:rsidR="00B810CE" w:rsidRPr="00B810CE" w:rsidRDefault="00B810CE" w:rsidP="00B810CE">
      <w:pPr>
        <w:spacing w:after="0" w:line="253" w:lineRule="atLeast"/>
        <w:ind w:left="720" w:hanging="360"/>
        <w:jc w:val="both"/>
        <w:rPr>
          <w:rFonts w:ascii="Arial" w:eastAsia="Times New Roman" w:hAnsi="Arial" w:cs="Arial"/>
          <w:color w:val="000000"/>
          <w:lang w:eastAsia="en-GB"/>
        </w:rPr>
      </w:pPr>
      <w:r w:rsidRPr="00B810CE">
        <w:rPr>
          <w:rFonts w:ascii="Calibri" w:eastAsia="Times New Roman" w:hAnsi="Calibri" w:cs="Arial"/>
          <w:color w:val="000000"/>
          <w:sz w:val="16"/>
          <w:szCs w:val="16"/>
          <w:lang w:eastAsia="en-GB"/>
        </w:rPr>
        <w:t xml:space="preserve">2.        </w:t>
      </w:r>
      <w:proofErr w:type="spellStart"/>
      <w:r w:rsidRPr="00B810CE">
        <w:rPr>
          <w:rFonts w:ascii="Calibri" w:eastAsia="Times New Roman" w:hAnsi="Calibri" w:cs="Arial"/>
          <w:color w:val="000000"/>
          <w:sz w:val="16"/>
          <w:szCs w:val="16"/>
          <w:lang w:eastAsia="en-GB"/>
        </w:rPr>
        <w:t>Praetura</w:t>
      </w:r>
      <w:proofErr w:type="spellEnd"/>
      <w:r w:rsidRPr="00B810CE">
        <w:rPr>
          <w:rFonts w:ascii="Calibri" w:eastAsia="Times New Roman" w:hAnsi="Calibri" w:cs="Arial"/>
          <w:color w:val="000000"/>
          <w:sz w:val="16"/>
          <w:szCs w:val="16"/>
          <w:lang w:eastAsia="en-GB"/>
        </w:rPr>
        <w:t xml:space="preserve"> Ventures (1) LLP is a limited liability partnership whose members are Mike Fletcher (Non-Executive Director) and David Foreman (Corporate </w:t>
      </w:r>
      <w:proofErr w:type="gramStart"/>
      <w:r w:rsidRPr="00B810CE">
        <w:rPr>
          <w:rFonts w:ascii="Calibri" w:eastAsia="Times New Roman" w:hAnsi="Calibri" w:cs="Arial"/>
          <w:color w:val="000000"/>
          <w:sz w:val="16"/>
          <w:szCs w:val="16"/>
          <w:lang w:eastAsia="en-GB"/>
        </w:rPr>
        <w:t>Development  Director</w:t>
      </w:r>
      <w:proofErr w:type="gramEnd"/>
      <w:r w:rsidRPr="00B810CE">
        <w:rPr>
          <w:rFonts w:ascii="Calibri" w:eastAsia="Times New Roman" w:hAnsi="Calibri" w:cs="Arial"/>
          <w:color w:val="000000"/>
          <w:sz w:val="16"/>
          <w:szCs w:val="16"/>
          <w:lang w:eastAsia="en-GB"/>
        </w:rPr>
        <w:t xml:space="preserve">) who each have an equal share and accordingly are taken as interested in the ordinary shares held by </w:t>
      </w:r>
      <w:proofErr w:type="spellStart"/>
      <w:r w:rsidRPr="00B810CE">
        <w:rPr>
          <w:rFonts w:ascii="Calibri" w:eastAsia="Times New Roman" w:hAnsi="Calibri" w:cs="Arial"/>
          <w:color w:val="000000"/>
          <w:sz w:val="16"/>
          <w:szCs w:val="16"/>
          <w:lang w:eastAsia="en-GB"/>
        </w:rPr>
        <w:t>Praetura</w:t>
      </w:r>
      <w:proofErr w:type="spellEnd"/>
      <w:r w:rsidRPr="00B810CE">
        <w:rPr>
          <w:rFonts w:ascii="Calibri" w:eastAsia="Times New Roman" w:hAnsi="Calibri" w:cs="Arial"/>
          <w:color w:val="000000"/>
          <w:sz w:val="16"/>
          <w:szCs w:val="16"/>
          <w:lang w:eastAsia="en-GB"/>
        </w:rPr>
        <w:t xml:space="preserve"> Ventures (1).</w:t>
      </w:r>
    </w:p>
    <w:p w:rsidR="00B810CE" w:rsidRPr="00B810CE" w:rsidRDefault="00B810CE" w:rsidP="00B810CE">
      <w:pPr>
        <w:spacing w:after="0" w:line="240" w:lineRule="auto"/>
        <w:jc w:val="both"/>
        <w:rPr>
          <w:rFonts w:ascii="Calibri" w:eastAsia="Times New Roman" w:hAnsi="Calibri" w:cs="Times New Roman"/>
          <w:color w:val="000000"/>
          <w:lang w:eastAsia="en-GB"/>
        </w:rPr>
      </w:pPr>
      <w:r w:rsidRPr="00B810CE">
        <w:rPr>
          <w:rFonts w:ascii="Calibri" w:eastAsia="Times New Roman" w:hAnsi="Calibri" w:cs="Times New Roman"/>
          <w:color w:val="000000"/>
          <w:sz w:val="20"/>
          <w:szCs w:val="20"/>
          <w:lang w:eastAsia="en-GB"/>
        </w:rPr>
        <w:t> </w:t>
      </w:r>
    </w:p>
    <w:p w:rsidR="00B810CE" w:rsidRPr="00B810CE" w:rsidRDefault="00B810CE" w:rsidP="00B810CE">
      <w:pPr>
        <w:spacing w:after="20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lastRenderedPageBreak/>
        <w:t>Following the sale of the options Paul Connor holds options over 3,750,000 Ordinary Shares. No other director holds options in the Group.</w:t>
      </w:r>
    </w:p>
    <w:p w:rsidR="00B810CE" w:rsidRPr="00B810CE" w:rsidRDefault="00B810CE" w:rsidP="00B810CE">
      <w:pPr>
        <w:spacing w:after="20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t> </w:t>
      </w:r>
    </w:p>
    <w:p w:rsidR="00B810CE" w:rsidRPr="00B810CE" w:rsidRDefault="00B810CE" w:rsidP="00B810CE">
      <w:pPr>
        <w:spacing w:after="200" w:line="253" w:lineRule="atLeast"/>
        <w:jc w:val="both"/>
        <w:rPr>
          <w:rFonts w:ascii="Arial" w:eastAsia="Times New Roman" w:hAnsi="Arial" w:cs="Arial"/>
          <w:color w:val="000000"/>
          <w:lang w:eastAsia="en-GB"/>
        </w:rPr>
      </w:pPr>
      <w:r w:rsidRPr="00B810CE">
        <w:rPr>
          <w:rFonts w:ascii="Calibri" w:eastAsia="Times New Roman" w:hAnsi="Calibri" w:cs="Arial"/>
          <w:color w:val="000000"/>
          <w:sz w:val="20"/>
          <w:szCs w:val="20"/>
          <w:lang w:eastAsia="en-GB"/>
        </w:rPr>
        <w:t>Enquiries:   </w:t>
      </w:r>
    </w:p>
    <w:tbl>
      <w:tblPr>
        <w:tblW w:w="0" w:type="auto"/>
        <w:tblCellSpacing w:w="0" w:type="dxa"/>
        <w:tblCellMar>
          <w:left w:w="0" w:type="dxa"/>
          <w:right w:w="0" w:type="dxa"/>
        </w:tblCellMar>
        <w:tblLook w:val="04A0" w:firstRow="1" w:lastRow="0" w:firstColumn="1" w:lastColumn="0" w:noHBand="0" w:noVBand="1"/>
      </w:tblPr>
      <w:tblGrid>
        <w:gridCol w:w="5250"/>
        <w:gridCol w:w="3630"/>
      </w:tblGrid>
      <w:tr w:rsidR="00B810CE" w:rsidRPr="00B810CE" w:rsidTr="00B810CE">
        <w:trPr>
          <w:tblCellSpacing w:w="0" w:type="dxa"/>
        </w:trPr>
        <w:tc>
          <w:tcPr>
            <w:tcW w:w="5250" w:type="dxa"/>
            <w:hideMark/>
          </w:tcPr>
          <w:p w:rsidR="00B810CE" w:rsidRPr="00B810CE" w:rsidRDefault="00B810CE" w:rsidP="00B810CE">
            <w:pPr>
              <w:spacing w:after="0" w:line="240" w:lineRule="auto"/>
              <w:rPr>
                <w:rFonts w:ascii="Calibri" w:eastAsia="Times New Roman" w:hAnsi="Calibri" w:cs="Times New Roman"/>
                <w:b/>
                <w:bCs/>
                <w:lang w:eastAsia="en-GB"/>
              </w:rPr>
            </w:pPr>
            <w:r w:rsidRPr="00B810CE">
              <w:rPr>
                <w:rFonts w:ascii="Calibri" w:eastAsia="Times New Roman" w:hAnsi="Calibri" w:cs="Times New Roman"/>
                <w:b/>
                <w:bCs/>
                <w:sz w:val="20"/>
                <w:szCs w:val="20"/>
                <w:lang w:eastAsia="en-GB"/>
              </w:rPr>
              <w:t>Inspired Energy plc</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Janet Thornton, Chief Executive</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Paul Connor, Finance Director</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tc>
        <w:tc>
          <w:tcPr>
            <w:tcW w:w="3630" w:type="dxa"/>
            <w:hideMark/>
          </w:tcPr>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+44 (0) 1772 689250</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www.inspiredenergy.co.uk</w:t>
            </w:r>
          </w:p>
        </w:tc>
      </w:tr>
      <w:tr w:rsidR="00B810CE" w:rsidRPr="00B810CE" w:rsidTr="00B810CE">
        <w:trPr>
          <w:tblCellSpacing w:w="0" w:type="dxa"/>
        </w:trPr>
        <w:tc>
          <w:tcPr>
            <w:tcW w:w="5250" w:type="dxa"/>
            <w:hideMark/>
          </w:tcPr>
          <w:p w:rsidR="00B810CE" w:rsidRPr="00B810CE" w:rsidRDefault="00B810CE" w:rsidP="00B810CE">
            <w:pPr>
              <w:spacing w:after="0" w:line="240" w:lineRule="auto"/>
              <w:rPr>
                <w:rFonts w:ascii="Calibri" w:eastAsia="Times New Roman" w:hAnsi="Calibri" w:cs="Times New Roman"/>
                <w:b/>
                <w:bCs/>
                <w:lang w:eastAsia="en-GB"/>
              </w:rPr>
            </w:pPr>
            <w:r w:rsidRPr="00B810CE">
              <w:rPr>
                <w:rFonts w:ascii="Calibri" w:eastAsia="Times New Roman" w:hAnsi="Calibri" w:cs="Times New Roman"/>
                <w:b/>
                <w:bCs/>
                <w:sz w:val="20"/>
                <w:szCs w:val="20"/>
                <w:lang w:eastAsia="en-GB"/>
              </w:rPr>
              <w:t>Shore Capital (Nomad and Joint Broker)</w:t>
            </w:r>
          </w:p>
          <w:p w:rsidR="00B810CE" w:rsidRPr="00B810CE" w:rsidRDefault="00B810CE" w:rsidP="00B810CE">
            <w:pPr>
              <w:spacing w:after="0" w:line="240" w:lineRule="auto"/>
              <w:rPr>
                <w:rFonts w:ascii="Calibri" w:eastAsia="Times New Roman" w:hAnsi="Calibri" w:cs="Times New Roman"/>
                <w:lang w:eastAsia="en-GB"/>
              </w:rPr>
            </w:pPr>
            <w:proofErr w:type="spellStart"/>
            <w:r w:rsidRPr="00B810CE">
              <w:rPr>
                <w:rFonts w:ascii="Calibri" w:eastAsia="Times New Roman" w:hAnsi="Calibri" w:cs="Times New Roman"/>
                <w:sz w:val="20"/>
                <w:szCs w:val="20"/>
                <w:lang w:eastAsia="en-GB"/>
              </w:rPr>
              <w:t>Bidhi</w:t>
            </w:r>
            <w:proofErr w:type="spellEnd"/>
            <w:r w:rsidRPr="00B810CE">
              <w:rPr>
                <w:rFonts w:ascii="Calibri" w:eastAsia="Times New Roman" w:hAnsi="Calibri" w:cs="Times New Roman"/>
                <w:sz w:val="20"/>
                <w:szCs w:val="20"/>
                <w:lang w:eastAsia="en-GB"/>
              </w:rPr>
              <w:t xml:space="preserve"> </w:t>
            </w:r>
            <w:proofErr w:type="spellStart"/>
            <w:r w:rsidRPr="00B810CE">
              <w:rPr>
                <w:rFonts w:ascii="Calibri" w:eastAsia="Times New Roman" w:hAnsi="Calibri" w:cs="Times New Roman"/>
                <w:sz w:val="20"/>
                <w:szCs w:val="20"/>
                <w:lang w:eastAsia="en-GB"/>
              </w:rPr>
              <w:t>Bhoma</w:t>
            </w:r>
            <w:proofErr w:type="spellEnd"/>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Edward Mansfield</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p w:rsidR="00B810CE" w:rsidRPr="00B810CE" w:rsidRDefault="00B810CE" w:rsidP="00B810CE">
            <w:pPr>
              <w:spacing w:after="0" w:line="240" w:lineRule="auto"/>
              <w:rPr>
                <w:rFonts w:ascii="Calibri" w:eastAsia="Times New Roman" w:hAnsi="Calibri" w:cs="Times New Roman"/>
                <w:b/>
                <w:bCs/>
                <w:lang w:eastAsia="en-GB"/>
              </w:rPr>
            </w:pPr>
            <w:proofErr w:type="spellStart"/>
            <w:r w:rsidRPr="00B810CE">
              <w:rPr>
                <w:rFonts w:ascii="Calibri" w:eastAsia="Times New Roman" w:hAnsi="Calibri" w:cs="Times New Roman"/>
                <w:b/>
                <w:bCs/>
                <w:sz w:val="20"/>
                <w:szCs w:val="20"/>
                <w:lang w:eastAsia="en-GB"/>
              </w:rPr>
              <w:t>Panmure</w:t>
            </w:r>
            <w:proofErr w:type="spellEnd"/>
            <w:r w:rsidRPr="00B810CE">
              <w:rPr>
                <w:rFonts w:ascii="Calibri" w:eastAsia="Times New Roman" w:hAnsi="Calibri" w:cs="Times New Roman"/>
                <w:b/>
                <w:bCs/>
                <w:sz w:val="20"/>
                <w:szCs w:val="20"/>
                <w:lang w:eastAsia="en-GB"/>
              </w:rPr>
              <w:t xml:space="preserve"> Gordon (Joint Broker)</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Ben Thorne</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Mark Taylor</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tc>
        <w:tc>
          <w:tcPr>
            <w:tcW w:w="3630" w:type="dxa"/>
            <w:hideMark/>
          </w:tcPr>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+44 (0) 20 7408 4090</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+44 (0) 20 7886 2500</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 </w:t>
            </w:r>
          </w:p>
        </w:tc>
      </w:tr>
      <w:tr w:rsidR="00B810CE" w:rsidRPr="00B810CE" w:rsidTr="00B810CE">
        <w:trPr>
          <w:tblCellSpacing w:w="0" w:type="dxa"/>
        </w:trPr>
        <w:tc>
          <w:tcPr>
            <w:tcW w:w="5250" w:type="dxa"/>
            <w:hideMark/>
          </w:tcPr>
          <w:p w:rsidR="00B810CE" w:rsidRPr="00B810CE" w:rsidRDefault="00B810CE" w:rsidP="00B810CE">
            <w:pPr>
              <w:spacing w:after="0" w:line="240" w:lineRule="auto"/>
              <w:rPr>
                <w:rFonts w:ascii="Calibri" w:eastAsia="Times New Roman" w:hAnsi="Calibri" w:cs="Times New Roman"/>
                <w:b/>
                <w:bCs/>
                <w:lang w:eastAsia="en-GB"/>
              </w:rPr>
            </w:pPr>
            <w:r w:rsidRPr="00B810CE">
              <w:rPr>
                <w:rFonts w:ascii="Calibri" w:eastAsia="Times New Roman" w:hAnsi="Calibri" w:cs="Times New Roman"/>
                <w:b/>
                <w:bCs/>
                <w:sz w:val="20"/>
                <w:szCs w:val="20"/>
                <w:lang w:eastAsia="en-GB"/>
              </w:rPr>
              <w:t>Gable Communications</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Justine James</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John Bick</w:t>
            </w:r>
          </w:p>
        </w:tc>
        <w:tc>
          <w:tcPr>
            <w:tcW w:w="3630" w:type="dxa"/>
            <w:hideMark/>
          </w:tcPr>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+44 (0) 20 7193 7463</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+44 (0) 7525 324431</w:t>
            </w:r>
          </w:p>
          <w:p w:rsidR="00B810CE" w:rsidRPr="00B810CE" w:rsidRDefault="00B810CE" w:rsidP="00B810CE">
            <w:pPr>
              <w:spacing w:after="0" w:line="240" w:lineRule="auto"/>
              <w:rPr>
                <w:rFonts w:ascii="Calibri" w:eastAsia="Times New Roman" w:hAnsi="Calibri" w:cs="Times New Roman"/>
                <w:lang w:eastAsia="en-GB"/>
              </w:rPr>
            </w:pPr>
            <w:r w:rsidRPr="00B810CE">
              <w:rPr>
                <w:rFonts w:ascii="Calibri" w:eastAsia="Times New Roman" w:hAnsi="Calibri" w:cs="Times New Roman"/>
                <w:sz w:val="20"/>
                <w:szCs w:val="20"/>
                <w:lang w:eastAsia="en-GB"/>
              </w:rPr>
              <w:t>inspired@gablecommunications.com</w:t>
            </w:r>
          </w:p>
        </w:tc>
      </w:tr>
    </w:tbl>
    <w:p w:rsidR="00144514" w:rsidRDefault="00144514">
      <w:bookmarkStart w:id="0" w:name="_GoBack"/>
      <w:bookmarkEnd w:id="0"/>
    </w:p>
    <w:sectPr w:rsidR="00144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CE"/>
    <w:rsid w:val="00144514"/>
    <w:rsid w:val="00B8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9F510-6B76-438F-8AAD-65299FEC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B810CE"/>
  </w:style>
  <w:style w:type="paragraph" w:customStyle="1" w:styleId="bo">
    <w:name w:val="bo"/>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
    <w:name w:val="bl"/>
    <w:basedOn w:val="DefaultParagraphFont"/>
    <w:rsid w:val="00B810CE"/>
  </w:style>
  <w:style w:type="paragraph" w:customStyle="1" w:styleId="bp">
    <w:name w:val="bp"/>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B810CE"/>
  </w:style>
  <w:style w:type="paragraph" w:customStyle="1" w:styleId="bq">
    <w:name w:val="bq"/>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h">
    <w:name w:val="bh"/>
    <w:basedOn w:val="DefaultParagraphFont"/>
    <w:rsid w:val="00B810CE"/>
  </w:style>
  <w:style w:type="paragraph" w:customStyle="1" w:styleId="br">
    <w:name w:val="br"/>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10CE"/>
  </w:style>
  <w:style w:type="paragraph" w:customStyle="1" w:styleId="bs">
    <w:name w:val="bs"/>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
    <w:name w:val="be"/>
    <w:basedOn w:val="DefaultParagraphFont"/>
    <w:rsid w:val="00B810CE"/>
  </w:style>
  <w:style w:type="paragraph" w:customStyle="1" w:styleId="bu">
    <w:name w:val="bu"/>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
    <w:name w:val="bc"/>
    <w:basedOn w:val="DefaultParagraphFont"/>
    <w:rsid w:val="00B810CE"/>
  </w:style>
  <w:style w:type="paragraph" w:customStyle="1" w:styleId="bv">
    <w:name w:val="bv"/>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v">
    <w:name w:val="av"/>
    <w:basedOn w:val="DefaultParagraphFont"/>
    <w:rsid w:val="00B810CE"/>
  </w:style>
  <w:style w:type="paragraph" w:customStyle="1" w:styleId="bw">
    <w:name w:val="bw"/>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x">
    <w:name w:val="bx"/>
    <w:basedOn w:val="DefaultParagraphFont"/>
    <w:rsid w:val="00B810CE"/>
  </w:style>
  <w:style w:type="paragraph" w:customStyle="1" w:styleId="by">
    <w:name w:val="by"/>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z">
    <w:name w:val="bz"/>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B810CE"/>
  </w:style>
  <w:style w:type="paragraph" w:customStyle="1" w:styleId="ca">
    <w:name w:val="ca"/>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j">
    <w:name w:val="aj"/>
    <w:basedOn w:val="DefaultParagraphFont"/>
    <w:rsid w:val="00B810CE"/>
  </w:style>
  <w:style w:type="character" w:customStyle="1" w:styleId="ai">
    <w:name w:val="ai"/>
    <w:basedOn w:val="DefaultParagraphFont"/>
    <w:rsid w:val="00B810CE"/>
  </w:style>
  <w:style w:type="character" w:customStyle="1" w:styleId="ag">
    <w:name w:val="ag"/>
    <w:basedOn w:val="DefaultParagraphFont"/>
    <w:rsid w:val="00B810CE"/>
  </w:style>
  <w:style w:type="paragraph" w:customStyle="1" w:styleId="cb">
    <w:name w:val="cb"/>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
    <w:name w:val="cc"/>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
    <w:name w:val="ac"/>
    <w:basedOn w:val="DefaultParagraphFont"/>
    <w:rsid w:val="00B810CE"/>
  </w:style>
  <w:style w:type="character" w:customStyle="1" w:styleId="cd">
    <w:name w:val="cd"/>
    <w:basedOn w:val="DefaultParagraphFont"/>
    <w:rsid w:val="00B810CE"/>
  </w:style>
  <w:style w:type="paragraph" w:customStyle="1" w:styleId="ce">
    <w:name w:val="ce"/>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B810CE"/>
  </w:style>
  <w:style w:type="paragraph" w:customStyle="1" w:styleId="cf">
    <w:name w:val="cf"/>
    <w:basedOn w:val="Normal"/>
    <w:rsid w:val="00B810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Sawyer</dc:creator>
  <cp:keywords/>
  <dc:description/>
  <cp:lastModifiedBy>Gary Sawyer</cp:lastModifiedBy>
  <cp:revision>1</cp:revision>
  <dcterms:created xsi:type="dcterms:W3CDTF">2016-01-28T09:13:00Z</dcterms:created>
  <dcterms:modified xsi:type="dcterms:W3CDTF">2016-01-28T09:15:00Z</dcterms:modified>
</cp:coreProperties>
</file>